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"General de Marină Nicolae Dumitrescu Maican"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rFonts w:ascii="Calibri" w:cs="Calibri" w:eastAsia="Calibri" w:hAnsi="Calibri"/>
          <w:color w:val="262626"/>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000000" w:rsidDel="00000000" w:rsidP="00000000" w:rsidRDefault="00000000" w:rsidRPr="00000000" w14:paraId="00000087">
      <w:pPr>
        <w:spacing w:after="120" w:line="276" w:lineRule="auto"/>
        <w:jc w:val="both"/>
        <w:rPr>
          <w:sz w:val="22"/>
          <w:szCs w:val="22"/>
        </w:rPr>
      </w:pP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ABWbBVFimHwUoBLU1njt3UiKrw==">CgMxLjA4AHIhMU5KMFg5bFVnZlFXWjB3TjNGckszci1KamF3bWpfLUhM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