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"Doamna Nica", comuna Valea Mărului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 </w:t>
      </w:r>
      <w:r w:rsidDel="00000000" w:rsidR="00000000" w:rsidRPr="00000000">
        <w:rPr>
          <w:rFonts w:ascii="Calibri" w:cs="Calibri" w:eastAsia="Calibri" w:hAnsi="Calibri"/>
          <w:sz w:val="22"/>
          <w:szCs w:val="22"/>
          <w:rtl w:val="0"/>
        </w:rPr>
        <w:t xml:space="preserve">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wA9VvCrh2tAkRd3z1ilEMTzTtg==">CgMxLjA4AHIhMXYwNjhBR180MGVxMzBRNlUtY2lnWkxwVjFOUUgwYm9a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