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GIMNAZIAL</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Școala Gimnazială Nr. 18 Galați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 diferențe</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8">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4">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5">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5F">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în baza hotărârii consiliului de administrație, coordonatorii structurilor care aparțin de unitatea de învățământ, din rândul cadrelor didactice, de regulă, titulare, care își desfășoară activitatea în structurile respective;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4">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6">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7">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8">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9">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A">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B">
      <w:pPr>
        <w:spacing w:after="200" w:lineRule="auto"/>
        <w:ind w:right="49"/>
        <w:rPr>
          <w:b w:val="1"/>
          <w:bCs w:val="1"/>
        </w:rPr>
      </w:pPr>
      <w:r w:rsidDel="00000000" w:rsidR="00000000" w:rsidRPr="00000000">
        <w:rPr>
          <w:rtl w:val="0"/>
        </w:rPr>
      </w:r>
    </w:p>
    <w:sectPr>
      <w:headerReference r:id="rId7" w:type="default"/>
      <w:footerReference r:id="rId8" w:type="default"/>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gimnazial elaborată în baza fișei–cadru a postului aprobată prin OMEC nr. 4155/2026</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atmrbcHkJLymBKMlT18Y0oBCzWw==">CgMxLjA4AHIhMUY2TGlNQmdkNm95OHJsTUs1VXNuVzMzZ1Q4dTVYRnIx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