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GIMNAZIAL</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Școala Gimnazială "Ștefan Octavian Iosif" Tecuci</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w:t>
      </w:r>
      <w:r w:rsidDel="00000000" w:rsidR="00000000" w:rsidRPr="00000000">
        <w:rPr>
          <w:rFonts w:ascii="Calibri" w:cs="Calibri" w:eastAsia="Calibri" w:hAnsi="Calibri"/>
          <w:sz w:val="22"/>
          <w:szCs w:val="22"/>
          <w:rtl w:val="0"/>
        </w:rPr>
        <w:t xml:space="preserve"> sau</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diferențe; </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w:t>
      </w:r>
      <w:r w:rsidDel="00000000" w:rsidR="00000000" w:rsidRPr="00000000">
        <w:rPr>
          <w:rFonts w:ascii="Calibri" w:cs="Calibri" w:eastAsia="Calibri" w:hAnsi="Calibri"/>
          <w:sz w:val="22"/>
          <w:szCs w:val="22"/>
          <w:rtl w:val="0"/>
        </w:rPr>
        <w:t xml:space="preserv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competiții sportive și festivaluri naționale și internaționale;</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8">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4">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5">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5F">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în baza hotărârii consiliului de administrație, coordonatorii structurilor care aparțin de unitatea de învățământ, din rândul cadrelor didactice, de regulă, titulare, care își desfășoară activitatea în structurile respective;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4">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5">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6">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7">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8">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9">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A">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B">
      <w:pPr>
        <w:spacing w:after="200" w:lineRule="auto"/>
        <w:ind w:right="49"/>
        <w:rPr>
          <w:b w:val="1"/>
          <w:bCs w:val="1"/>
        </w:rPr>
      </w:pPr>
      <w:r w:rsidDel="00000000" w:rsidR="00000000" w:rsidRPr="00000000">
        <w:rPr>
          <w:rtl w:val="0"/>
        </w:rPr>
      </w:r>
    </w:p>
    <w:sectPr>
      <w:headerReference r:id="rId7" w:type="default"/>
      <w:footerReference r:id="rId8" w:type="default"/>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gimnazial elaborată în baza fișei–cadru a postului aprobată prin OMEC nr. 4155/2026</w:t>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D6mz1jKUSNNwZw87S/NgB1lBjjw==">CgMxLjA4AHIhMUprell6VFZWUzFTVXZlYmF2UFZMUmJMM09Kc1psam9R</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